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97A96" w14:textId="0B9488F1" w:rsidR="00F83149" w:rsidRDefault="00835ECB" w:rsidP="00B44A4C">
      <w:pPr>
        <w:jc w:val="center"/>
        <w:rPr>
          <w:sz w:val="36"/>
          <w:szCs w:val="36"/>
        </w:rPr>
      </w:pPr>
      <w:bookmarkStart w:id="0" w:name="_GoBack"/>
      <w:bookmarkEnd w:id="0"/>
      <w:r>
        <w:rPr>
          <w:sz w:val="36"/>
          <w:szCs w:val="36"/>
        </w:rPr>
        <w:t>FINALISTAS PRÊMIO 2021</w:t>
      </w:r>
    </w:p>
    <w:p w14:paraId="30F78874" w14:textId="77777777" w:rsidR="00B44A4C" w:rsidRPr="00B44A4C" w:rsidRDefault="00B44A4C" w:rsidP="00B44A4C">
      <w:pPr>
        <w:jc w:val="center"/>
        <w:rPr>
          <w:sz w:val="36"/>
          <w:szCs w:val="36"/>
        </w:rPr>
      </w:pPr>
    </w:p>
    <w:p w14:paraId="333FEF12" w14:textId="59B59390" w:rsidR="001043EB" w:rsidRPr="00B44A4C" w:rsidRDefault="00F446B9" w:rsidP="00B44A4C">
      <w:pPr>
        <w:rPr>
          <w:sz w:val="28"/>
          <w:szCs w:val="28"/>
        </w:rPr>
      </w:pPr>
      <w:r>
        <w:rPr>
          <w:sz w:val="28"/>
          <w:szCs w:val="28"/>
        </w:rPr>
        <w:t>PRÁTICA INOVADORAS</w:t>
      </w:r>
      <w:r w:rsidR="00B44A4C" w:rsidRPr="00B44A4C">
        <w:rPr>
          <w:sz w:val="28"/>
          <w:szCs w:val="28"/>
        </w:rPr>
        <w:t xml:space="preserve"> DE SUCESSO:</w:t>
      </w:r>
    </w:p>
    <w:p w14:paraId="6066975D" w14:textId="77777777" w:rsidR="00B44A4C" w:rsidRPr="00B44A4C" w:rsidRDefault="00B44A4C" w:rsidP="00B44A4C">
      <w:pPr>
        <w:rPr>
          <w:sz w:val="36"/>
          <w:szCs w:val="36"/>
        </w:rPr>
      </w:pPr>
    </w:p>
    <w:tbl>
      <w:tblPr>
        <w:tblStyle w:val="Tabelacomgrade"/>
        <w:tblW w:w="16160" w:type="dxa"/>
        <w:tblInd w:w="-1139" w:type="dxa"/>
        <w:tblLook w:val="04A0" w:firstRow="1" w:lastRow="0" w:firstColumn="1" w:lastColumn="0" w:noHBand="0" w:noVBand="1"/>
      </w:tblPr>
      <w:tblGrid>
        <w:gridCol w:w="2329"/>
        <w:gridCol w:w="2505"/>
        <w:gridCol w:w="1707"/>
        <w:gridCol w:w="7500"/>
        <w:gridCol w:w="2119"/>
      </w:tblGrid>
      <w:tr w:rsidR="00B44A4C" w14:paraId="1B7066E1" w14:textId="0CB37936" w:rsidTr="00B44A4C">
        <w:tc>
          <w:tcPr>
            <w:tcW w:w="2336" w:type="dxa"/>
          </w:tcPr>
          <w:p w14:paraId="132E0D59" w14:textId="302D0384" w:rsidR="00B44A4C" w:rsidRDefault="00B44A4C">
            <w:r>
              <w:t>INSCRIÇÃO</w:t>
            </w:r>
          </w:p>
        </w:tc>
        <w:tc>
          <w:tcPr>
            <w:tcW w:w="2508" w:type="dxa"/>
          </w:tcPr>
          <w:p w14:paraId="68C2B8EA" w14:textId="1CB454B2" w:rsidR="00B44A4C" w:rsidRDefault="00B44A4C">
            <w:r>
              <w:t>PROPONTENTE</w:t>
            </w:r>
          </w:p>
        </w:tc>
        <w:tc>
          <w:tcPr>
            <w:tcW w:w="1655" w:type="dxa"/>
          </w:tcPr>
          <w:p w14:paraId="113CE1F2" w14:textId="642DDCA0" w:rsidR="00B44A4C" w:rsidRDefault="00B44A4C">
            <w:r>
              <w:t>TÍTULO</w:t>
            </w:r>
          </w:p>
        </w:tc>
        <w:tc>
          <w:tcPr>
            <w:tcW w:w="7535" w:type="dxa"/>
          </w:tcPr>
          <w:p w14:paraId="67B4BAD5" w14:textId="36459758" w:rsidR="00B44A4C" w:rsidRDefault="00B44A4C" w:rsidP="00347001">
            <w:pPr>
              <w:jc w:val="center"/>
            </w:pPr>
            <w:r>
              <w:t>RESUMO DO PROJETO</w:t>
            </w:r>
          </w:p>
        </w:tc>
        <w:tc>
          <w:tcPr>
            <w:tcW w:w="2126" w:type="dxa"/>
          </w:tcPr>
          <w:p w14:paraId="5C3DC69C" w14:textId="4BB76555" w:rsidR="00B44A4C" w:rsidRDefault="00B44A4C">
            <w:r>
              <w:t>ORGÃO DE LOTAÇÃO</w:t>
            </w:r>
          </w:p>
        </w:tc>
      </w:tr>
      <w:tr w:rsidR="00B44A4C" w14:paraId="5FF6734B" w14:textId="48F93F24" w:rsidTr="00B44A4C">
        <w:tc>
          <w:tcPr>
            <w:tcW w:w="2336" w:type="dxa"/>
          </w:tcPr>
          <w:p w14:paraId="422795FD" w14:textId="44D5652E" w:rsidR="00B44A4C" w:rsidRPr="00835ECB" w:rsidRDefault="00835ECB">
            <w:pPr>
              <w:rPr>
                <w:b/>
              </w:rPr>
            </w:pPr>
            <w:r>
              <w:rPr>
                <w:b/>
              </w:rPr>
              <w:t xml:space="preserve">1º    </w:t>
            </w:r>
            <w:r w:rsidRPr="00835ECB">
              <w:rPr>
                <w:b/>
              </w:rPr>
              <w:t>533049</w:t>
            </w:r>
          </w:p>
        </w:tc>
        <w:tc>
          <w:tcPr>
            <w:tcW w:w="2508" w:type="dxa"/>
          </w:tcPr>
          <w:p w14:paraId="77C57E14" w14:textId="77777777" w:rsidR="00B44A4C" w:rsidRDefault="00835ECB">
            <w:pPr>
              <w:rPr>
                <w:rFonts w:ascii="Verdana" w:hAnsi="Verdana"/>
                <w:color w:val="222222"/>
                <w:sz w:val="17"/>
                <w:szCs w:val="17"/>
                <w:shd w:val="clear" w:color="auto" w:fill="E8EAEF"/>
              </w:rPr>
            </w:pPr>
            <w:r>
              <w:rPr>
                <w:rFonts w:ascii="Verdana" w:hAnsi="Verdana"/>
                <w:color w:val="222222"/>
                <w:sz w:val="17"/>
                <w:szCs w:val="17"/>
                <w:shd w:val="clear" w:color="auto" w:fill="E8EAEF"/>
              </w:rPr>
              <w:t>DANIEL PEREIRA DE CARVALHO</w:t>
            </w:r>
          </w:p>
          <w:p w14:paraId="6E82B74E" w14:textId="77777777" w:rsidR="003D19E1" w:rsidRDefault="003D19E1">
            <w:pPr>
              <w:rPr>
                <w:rFonts w:ascii="Verdana" w:hAnsi="Verdana"/>
                <w:color w:val="222222"/>
                <w:sz w:val="17"/>
                <w:szCs w:val="17"/>
                <w:shd w:val="clear" w:color="auto" w:fill="E8EAEF"/>
              </w:rPr>
            </w:pPr>
          </w:p>
          <w:p w14:paraId="03B1D2FF" w14:textId="39048D06" w:rsidR="003D19E1" w:rsidRDefault="003D19E1">
            <w:r w:rsidRPr="003D19E1">
              <w:rPr>
                <w:rFonts w:ascii="Verdana" w:hAnsi="Verdana"/>
                <w:b/>
                <w:color w:val="222222"/>
                <w:sz w:val="17"/>
                <w:szCs w:val="17"/>
                <w:shd w:val="clear" w:color="auto" w:fill="E8EAEF"/>
              </w:rPr>
              <w:t>EQUIPE:</w:t>
            </w:r>
            <w:r>
              <w:rPr>
                <w:rFonts w:ascii="Helvetica" w:hAnsi="Helvetica" w:cs="Helvetica"/>
                <w:color w:val="000000"/>
                <w:sz w:val="18"/>
                <w:szCs w:val="18"/>
                <w:shd w:val="clear" w:color="auto" w:fill="F5F5F5"/>
              </w:rPr>
              <w:t xml:space="preserve"> Caroline Farias </w:t>
            </w:r>
            <w:proofErr w:type="spellStart"/>
            <w:r>
              <w:rPr>
                <w:rFonts w:ascii="Helvetica" w:hAnsi="Helvetica" w:cs="Helvetica"/>
                <w:color w:val="000000"/>
                <w:sz w:val="18"/>
                <w:szCs w:val="18"/>
                <w:shd w:val="clear" w:color="auto" w:fill="F5F5F5"/>
              </w:rPr>
              <w:t>Tomanquevez</w:t>
            </w:r>
            <w:proofErr w:type="spellEnd"/>
            <w:r>
              <w:rPr>
                <w:rFonts w:ascii="Helvetica" w:hAnsi="Helvetica" w:cs="Helvetica"/>
                <w:color w:val="000000"/>
                <w:sz w:val="18"/>
                <w:szCs w:val="18"/>
                <w:shd w:val="clear" w:color="auto" w:fill="F5F5F5"/>
              </w:rPr>
              <w:t xml:space="preserve">;   Marisa </w:t>
            </w:r>
            <w:proofErr w:type="spellStart"/>
            <w:r>
              <w:rPr>
                <w:rFonts w:ascii="Helvetica" w:hAnsi="Helvetica" w:cs="Helvetica"/>
                <w:color w:val="000000"/>
                <w:sz w:val="18"/>
                <w:szCs w:val="18"/>
                <w:shd w:val="clear" w:color="auto" w:fill="F5F5F5"/>
              </w:rPr>
              <w:t>Satiko</w:t>
            </w:r>
            <w:proofErr w:type="spellEnd"/>
            <w:r>
              <w:rPr>
                <w:rFonts w:ascii="Helvetica" w:hAnsi="Helvetica" w:cs="Helvetica"/>
                <w:color w:val="000000"/>
                <w:sz w:val="18"/>
                <w:szCs w:val="18"/>
                <w:shd w:val="clear" w:color="auto" w:fill="F5F5F5"/>
              </w:rPr>
              <w:t xml:space="preserve"> Miyashiro De Oliveira; Marcelo De Vasconcelos </w:t>
            </w:r>
            <w:proofErr w:type="spellStart"/>
            <w:r>
              <w:rPr>
                <w:rFonts w:ascii="Helvetica" w:hAnsi="Helvetica" w:cs="Helvetica"/>
                <w:color w:val="000000"/>
                <w:sz w:val="18"/>
                <w:szCs w:val="18"/>
                <w:shd w:val="clear" w:color="auto" w:fill="F5F5F5"/>
              </w:rPr>
              <w:t>Czaya</w:t>
            </w:r>
            <w:proofErr w:type="spellEnd"/>
          </w:p>
        </w:tc>
        <w:tc>
          <w:tcPr>
            <w:tcW w:w="1655" w:type="dxa"/>
          </w:tcPr>
          <w:p w14:paraId="57F82A12" w14:textId="3690C63E" w:rsidR="00B44A4C" w:rsidRDefault="00F446B9">
            <w:r>
              <w:rPr>
                <w:rFonts w:ascii="Helvetica" w:hAnsi="Helvetica" w:cs="Helvetica"/>
                <w:color w:val="000000"/>
                <w:sz w:val="18"/>
                <w:szCs w:val="18"/>
                <w:shd w:val="clear" w:color="auto" w:fill="F5F5F5"/>
              </w:rPr>
              <w:t>Integração do Sistema BP-e com a AGEPAN</w:t>
            </w:r>
          </w:p>
        </w:tc>
        <w:tc>
          <w:tcPr>
            <w:tcW w:w="7535" w:type="dxa"/>
          </w:tcPr>
          <w:p w14:paraId="6672DF89" w14:textId="548F2B58" w:rsidR="00B44A4C" w:rsidRDefault="00F446B9" w:rsidP="0067764D">
            <w:r>
              <w:t>O presente trabalho consiste na implementação de um sistema integrado de dados dos Bilhetes de Passagem Eletrônicos desenvolvidos conjuntamente pela Secretaria de Fazenda de Mato Grosso do Sul – SEFAZ/MS com a Agência Estadual de Regulação de Serviços Públicos de Mato Grosso do Sul – AGEPAN visando utilizar uma mesma base de dados para fiscalização d</w:t>
            </w:r>
            <w:r w:rsidR="00423C4D">
              <w:t>e suas atividades finalísticas.</w:t>
            </w:r>
            <w:r w:rsidR="0067764D">
              <w:t xml:space="preserve"> </w:t>
            </w:r>
            <w:r>
              <w:t>Nesse contexto foi desenvolvido novos sistemas para que o contribuinte permita à SEFAZ/MS que compartilhe seus documentos com a AGEPAN além do desenvolvimento do sistema que disponibiliza à AGEPAN os BP-e emiti</w:t>
            </w:r>
            <w:r w:rsidR="00AC43C7">
              <w:t>dos nas linhas intermunicipais.</w:t>
            </w:r>
            <w:r w:rsidR="0067764D">
              <w:t xml:space="preserve"> Eliminando </w:t>
            </w:r>
            <w:r>
              <w:t>nesse processo a duplicidade de informações prestadas pela empresa</w:t>
            </w:r>
            <w:r w:rsidR="0067764D">
              <w:t>,</w:t>
            </w:r>
            <w:r>
              <w:t xml:space="preserve"> simplificando e elimina</w:t>
            </w:r>
            <w:r w:rsidR="00AC43C7">
              <w:t xml:space="preserve">ndo custos aos transportadores. </w:t>
            </w:r>
          </w:p>
        </w:tc>
        <w:tc>
          <w:tcPr>
            <w:tcW w:w="2126" w:type="dxa"/>
          </w:tcPr>
          <w:p w14:paraId="1CF81435" w14:textId="6B121967" w:rsidR="00B44A4C" w:rsidRDefault="00F446B9">
            <w:r>
              <w:t>SEFAZ</w:t>
            </w:r>
          </w:p>
        </w:tc>
      </w:tr>
      <w:tr w:rsidR="00B44A4C" w14:paraId="12ACE32B" w14:textId="742BFDB5" w:rsidTr="00B44A4C">
        <w:tc>
          <w:tcPr>
            <w:tcW w:w="2336" w:type="dxa"/>
          </w:tcPr>
          <w:p w14:paraId="0CB1ED00" w14:textId="79C7208A" w:rsidR="00B44A4C" w:rsidRPr="00835ECB" w:rsidRDefault="00835ECB">
            <w:pPr>
              <w:rPr>
                <w:b/>
              </w:rPr>
            </w:pPr>
            <w:r>
              <w:rPr>
                <w:b/>
              </w:rPr>
              <w:t>2</w:t>
            </w:r>
            <w:r>
              <w:rPr>
                <w:rFonts w:ascii="Arial" w:hAnsi="Arial" w:cs="Arial"/>
                <w:b/>
              </w:rPr>
              <w:t xml:space="preserve">º   </w:t>
            </w:r>
            <w:r w:rsidRPr="00835ECB">
              <w:rPr>
                <w:b/>
              </w:rPr>
              <w:t>999938</w:t>
            </w:r>
          </w:p>
        </w:tc>
        <w:tc>
          <w:tcPr>
            <w:tcW w:w="2508" w:type="dxa"/>
          </w:tcPr>
          <w:p w14:paraId="20DDC9EE" w14:textId="66AAE302" w:rsidR="00B44A4C" w:rsidRDefault="00F446B9">
            <w:r>
              <w:rPr>
                <w:rFonts w:ascii="Helvetica" w:hAnsi="Helvetica" w:cs="Helvetica"/>
                <w:color w:val="000000"/>
                <w:sz w:val="18"/>
                <w:szCs w:val="18"/>
                <w:shd w:val="clear" w:color="auto" w:fill="F5F5F5"/>
              </w:rPr>
              <w:t> RAUL AUGUSTO APARECIDO SÁ RAMALHO</w:t>
            </w:r>
          </w:p>
        </w:tc>
        <w:tc>
          <w:tcPr>
            <w:tcW w:w="1655" w:type="dxa"/>
          </w:tcPr>
          <w:p w14:paraId="77987A63" w14:textId="0D7E6118" w:rsidR="00B44A4C" w:rsidRDefault="00F446B9">
            <w:r>
              <w:rPr>
                <w:rFonts w:ascii="Helvetica" w:hAnsi="Helvetica" w:cs="Helvetica"/>
                <w:color w:val="000000"/>
                <w:sz w:val="18"/>
                <w:szCs w:val="18"/>
                <w:shd w:val="clear" w:color="auto" w:fill="F5F5F5"/>
              </w:rPr>
              <w:t>Sustentabilidade no Sistema Penitenciário</w:t>
            </w:r>
          </w:p>
        </w:tc>
        <w:tc>
          <w:tcPr>
            <w:tcW w:w="7535" w:type="dxa"/>
          </w:tcPr>
          <w:p w14:paraId="2F9C1A62" w14:textId="5F4E7500" w:rsidR="00B44A4C" w:rsidRDefault="00F446B9" w:rsidP="0067764D">
            <w:pPr>
              <w:jc w:val="both"/>
            </w:pPr>
            <w:r>
              <w:t>Visando oportunizar a diminuição dos problemas de descarte de resíduos: orgânicos e inorgânicos (lixo) consumo de água/esgoto, foi desenvolvida à pratica inovadora de sucesso com participação dos gestores prisionais, servidores e demais setores de trabal</w:t>
            </w:r>
            <w:r w:rsidR="0067764D">
              <w:t>ho e educação, construindo um</w:t>
            </w:r>
            <w:r>
              <w:t xml:space="preserve"> projeto de sustentabilidade</w:t>
            </w:r>
            <w:r w:rsidR="0067764D">
              <w:t xml:space="preserve">, </w:t>
            </w:r>
            <w:r>
              <w:t>culminando com o programa de sustentabilidade prisional. A Horta tipo “</w:t>
            </w:r>
            <w:proofErr w:type="spellStart"/>
            <w:r>
              <w:t>mandala</w:t>
            </w:r>
            <w:proofErr w:type="spellEnd"/>
            <w:r>
              <w:t xml:space="preserve">” com o aproveitamento de resíduos de compostagem orgânica, a piscicultura (modalidade intensiva), </w:t>
            </w:r>
            <w:proofErr w:type="spellStart"/>
            <w:r>
              <w:t>aquarioterapia</w:t>
            </w:r>
            <w:proofErr w:type="spellEnd"/>
            <w:r>
              <w:t xml:space="preserve"> (criação de peixes ornamentais), usina de reciclagem de resíduos, separação de restos alimentares e medidas de estímulo à economia de água vem sendo amp</w:t>
            </w:r>
            <w:r w:rsidR="00164273">
              <w:t xml:space="preserve">lamente estimuladas. </w:t>
            </w:r>
            <w:r w:rsidR="0067764D">
              <w:t>Resultando em uma considerável</w:t>
            </w:r>
            <w:r>
              <w:t xml:space="preserve"> redução de entupimentos, economia ao erário </w:t>
            </w:r>
            <w:r w:rsidR="0067764D">
              <w:lastRenderedPageBreak/>
              <w:t xml:space="preserve">público, </w:t>
            </w:r>
            <w:r>
              <w:t xml:space="preserve"> redução no consumo de água; </w:t>
            </w:r>
            <w:r w:rsidR="0067764D">
              <w:t>entre outros benefícios, melhorando assim</w:t>
            </w:r>
            <w:r>
              <w:t xml:space="preserve"> às cond</w:t>
            </w:r>
            <w:r w:rsidR="0067764D">
              <w:t>ições de convivência no cárcere e</w:t>
            </w:r>
            <w:r>
              <w:t xml:space="preserve"> economicidade </w:t>
            </w:r>
            <w:r w:rsidR="0067764D">
              <w:t>.</w:t>
            </w:r>
          </w:p>
        </w:tc>
        <w:tc>
          <w:tcPr>
            <w:tcW w:w="2126" w:type="dxa"/>
          </w:tcPr>
          <w:p w14:paraId="56B0FB65" w14:textId="45C772C6" w:rsidR="00B44A4C" w:rsidRDefault="00F446B9">
            <w:r>
              <w:lastRenderedPageBreak/>
              <w:t>AGEPEN</w:t>
            </w:r>
          </w:p>
        </w:tc>
      </w:tr>
      <w:tr w:rsidR="00B44A4C" w14:paraId="56C35488" w14:textId="77777777" w:rsidTr="00B44A4C">
        <w:tc>
          <w:tcPr>
            <w:tcW w:w="2336" w:type="dxa"/>
          </w:tcPr>
          <w:p w14:paraId="1B1BD98B" w14:textId="52B1ABE6" w:rsidR="00B44A4C" w:rsidRPr="00835ECB" w:rsidRDefault="00835ECB">
            <w:pPr>
              <w:rPr>
                <w:b/>
              </w:rPr>
            </w:pPr>
            <w:r>
              <w:rPr>
                <w:b/>
              </w:rPr>
              <w:t xml:space="preserve">3º    </w:t>
            </w:r>
            <w:r w:rsidRPr="00835ECB">
              <w:rPr>
                <w:b/>
              </w:rPr>
              <w:t>442840</w:t>
            </w:r>
          </w:p>
        </w:tc>
        <w:tc>
          <w:tcPr>
            <w:tcW w:w="2508" w:type="dxa"/>
          </w:tcPr>
          <w:p w14:paraId="1675593A" w14:textId="790F5196" w:rsidR="00B44A4C" w:rsidRDefault="00F446B9">
            <w:r>
              <w:rPr>
                <w:rFonts w:ascii="Helvetica" w:hAnsi="Helvetica" w:cs="Helvetica"/>
                <w:color w:val="000000"/>
                <w:sz w:val="18"/>
                <w:szCs w:val="18"/>
                <w:shd w:val="clear" w:color="auto" w:fill="F5F5F5"/>
              </w:rPr>
              <w:t>EDSON MASSACAZU OCHIGAME</w:t>
            </w:r>
          </w:p>
        </w:tc>
        <w:tc>
          <w:tcPr>
            <w:tcW w:w="1655" w:type="dxa"/>
          </w:tcPr>
          <w:p w14:paraId="2EECD499" w14:textId="5957E0E1" w:rsidR="00B44A4C" w:rsidRDefault="00F446B9">
            <w:r>
              <w:rPr>
                <w:rFonts w:ascii="Helvetica" w:hAnsi="Helvetica" w:cs="Helvetica"/>
                <w:color w:val="000000"/>
                <w:sz w:val="18"/>
                <w:szCs w:val="18"/>
                <w:shd w:val="clear" w:color="auto" w:fill="F5F5F5"/>
              </w:rPr>
              <w:t>Operacionalização da Nota MS Premiada</w:t>
            </w:r>
          </w:p>
        </w:tc>
        <w:tc>
          <w:tcPr>
            <w:tcW w:w="7535" w:type="dxa"/>
          </w:tcPr>
          <w:p w14:paraId="4EA4B2D8" w14:textId="4891CA10" w:rsidR="00B44A4C" w:rsidRDefault="00F446B9" w:rsidP="00E7012F">
            <w:pPr>
              <w:jc w:val="both"/>
            </w:pPr>
            <w:r w:rsidRPr="00F446B9">
              <w:t xml:space="preserve">A presente prática consiste na implementação técnica do programa da Nota MS Premiada, de forma inovadora em relação a iniciativas similares em outros estados. A solução adotada foi a criação de uma sistemática de geração instantânea e aleatória de dezenas pela SEFAZ-MS, que são impressas na nota fiscal (NFC-e ou NF-e) do consumidor, desde que este solicite a inclusão de seu CPF no documento fiscal durante suas compras. Essas dezenas lhe dão direito a concorrer a prêmios estaduais em dinheiro, com base em resultados de concursos da </w:t>
            </w:r>
            <w:proofErr w:type="spellStart"/>
            <w:r w:rsidRPr="00F446B9">
              <w:t>Mega</w:t>
            </w:r>
            <w:proofErr w:type="spellEnd"/>
            <w:r w:rsidRPr="00F446B9">
              <w:t xml:space="preserve"> Sena, de modo que o consumidor já sai da loja com uma nota fiscal que também representa um bilhete de loteria. Para cada nota emitida com CPF, com valores a partir de R$ 1,00, são geradas 8 dezenas para concorrer a prêmios mensais que totalizam R$ 300.000,00. Desta forma, o projeto propicia oportunidades iguais a todos, </w:t>
            </w:r>
            <w:r w:rsidR="00E7012F" w:rsidRPr="00F446B9">
              <w:t>independentemente</w:t>
            </w:r>
            <w:r w:rsidRPr="00F446B9">
              <w:t xml:space="preserve"> do poder aquisitivo do consumidor, diferentemente de outras iniciativas similares. </w:t>
            </w:r>
          </w:p>
        </w:tc>
        <w:tc>
          <w:tcPr>
            <w:tcW w:w="2126" w:type="dxa"/>
          </w:tcPr>
          <w:p w14:paraId="1F6DEA54" w14:textId="26CE213D" w:rsidR="00B44A4C" w:rsidRDefault="00F446B9">
            <w:r>
              <w:t>SEFAZ</w:t>
            </w:r>
          </w:p>
        </w:tc>
      </w:tr>
    </w:tbl>
    <w:p w14:paraId="20523D17" w14:textId="77777777" w:rsidR="00DD61DE" w:rsidRDefault="00DD61DE">
      <w:pPr>
        <w:rPr>
          <w:b/>
        </w:rPr>
      </w:pPr>
    </w:p>
    <w:p w14:paraId="0DFE6F21" w14:textId="77777777" w:rsidR="00DD61DE" w:rsidRDefault="00DD61DE">
      <w:pPr>
        <w:rPr>
          <w:b/>
        </w:rPr>
      </w:pPr>
    </w:p>
    <w:p w14:paraId="236BBAED" w14:textId="4AB9C2BF" w:rsidR="00B44A4C" w:rsidRPr="00DD61DE" w:rsidRDefault="00B44A4C">
      <w:pPr>
        <w:rPr>
          <w:b/>
        </w:rPr>
      </w:pPr>
      <w:r w:rsidRPr="00DD61DE">
        <w:rPr>
          <w:b/>
        </w:rPr>
        <w:t>IDEIAS INOVADORAS IMPLEMENTÁVEIS:</w:t>
      </w:r>
    </w:p>
    <w:tbl>
      <w:tblPr>
        <w:tblStyle w:val="Tabelacomgrade"/>
        <w:tblW w:w="16160" w:type="dxa"/>
        <w:tblInd w:w="-1139" w:type="dxa"/>
        <w:tblLook w:val="04A0" w:firstRow="1" w:lastRow="0" w:firstColumn="1" w:lastColumn="0" w:noHBand="0" w:noVBand="1"/>
      </w:tblPr>
      <w:tblGrid>
        <w:gridCol w:w="2331"/>
        <w:gridCol w:w="2505"/>
        <w:gridCol w:w="1687"/>
        <w:gridCol w:w="7515"/>
        <w:gridCol w:w="2122"/>
      </w:tblGrid>
      <w:tr w:rsidR="00B44A4C" w14:paraId="00EB4FB1" w14:textId="77777777" w:rsidTr="009B49CA">
        <w:tc>
          <w:tcPr>
            <w:tcW w:w="2331" w:type="dxa"/>
          </w:tcPr>
          <w:p w14:paraId="2D682D36" w14:textId="77777777" w:rsidR="00B44A4C" w:rsidRDefault="00B44A4C" w:rsidP="003A1A1C">
            <w:r>
              <w:t>INSCRIÇÃO</w:t>
            </w:r>
          </w:p>
        </w:tc>
        <w:tc>
          <w:tcPr>
            <w:tcW w:w="2505" w:type="dxa"/>
          </w:tcPr>
          <w:p w14:paraId="109B4716" w14:textId="77777777" w:rsidR="00B44A4C" w:rsidRDefault="00B44A4C" w:rsidP="003A1A1C">
            <w:r>
              <w:t>PROPONTENTE</w:t>
            </w:r>
          </w:p>
        </w:tc>
        <w:tc>
          <w:tcPr>
            <w:tcW w:w="1687" w:type="dxa"/>
          </w:tcPr>
          <w:p w14:paraId="3002E1FF" w14:textId="77777777" w:rsidR="00B44A4C" w:rsidRDefault="00B44A4C" w:rsidP="003A1A1C">
            <w:r>
              <w:t>TÍTULO</w:t>
            </w:r>
          </w:p>
        </w:tc>
        <w:tc>
          <w:tcPr>
            <w:tcW w:w="7515" w:type="dxa"/>
          </w:tcPr>
          <w:p w14:paraId="79A4C6A7" w14:textId="77777777" w:rsidR="00B44A4C" w:rsidRDefault="00B44A4C" w:rsidP="00347001">
            <w:pPr>
              <w:jc w:val="center"/>
            </w:pPr>
            <w:r>
              <w:t>RESUMO DO PROJETO</w:t>
            </w:r>
          </w:p>
        </w:tc>
        <w:tc>
          <w:tcPr>
            <w:tcW w:w="2122" w:type="dxa"/>
          </w:tcPr>
          <w:p w14:paraId="4165FEC3" w14:textId="77777777" w:rsidR="00B44A4C" w:rsidRDefault="00B44A4C" w:rsidP="003A1A1C">
            <w:r>
              <w:t>ORGÃO DE LOTAÇÃO</w:t>
            </w:r>
          </w:p>
        </w:tc>
      </w:tr>
      <w:tr w:rsidR="00B44A4C" w14:paraId="54F65E9E" w14:textId="77777777" w:rsidTr="009B49CA">
        <w:tc>
          <w:tcPr>
            <w:tcW w:w="2331" w:type="dxa"/>
          </w:tcPr>
          <w:p w14:paraId="4978918B" w14:textId="77777777" w:rsidR="00B44A4C" w:rsidRPr="00835ECB" w:rsidRDefault="00B44A4C" w:rsidP="003A1A1C">
            <w:pPr>
              <w:rPr>
                <w:b/>
              </w:rPr>
            </w:pPr>
          </w:p>
          <w:p w14:paraId="5E5CEC66" w14:textId="40DDB76E" w:rsidR="00835ECB" w:rsidRPr="00835ECB" w:rsidRDefault="00835ECB" w:rsidP="003A1A1C">
            <w:pPr>
              <w:rPr>
                <w:b/>
              </w:rPr>
            </w:pPr>
            <w:r w:rsidRPr="00835ECB">
              <w:rPr>
                <w:b/>
              </w:rPr>
              <w:t>413559</w:t>
            </w:r>
          </w:p>
        </w:tc>
        <w:tc>
          <w:tcPr>
            <w:tcW w:w="2505" w:type="dxa"/>
          </w:tcPr>
          <w:p w14:paraId="34388EB0" w14:textId="7269F30A" w:rsidR="00B44A4C" w:rsidRDefault="001E41EE" w:rsidP="003A1A1C">
            <w:r>
              <w:rPr>
                <w:rFonts w:ascii="Helvetica" w:hAnsi="Helvetica" w:cs="Helvetica"/>
                <w:color w:val="000000"/>
                <w:sz w:val="18"/>
                <w:szCs w:val="18"/>
                <w:shd w:val="clear" w:color="auto" w:fill="F5F5F5"/>
              </w:rPr>
              <w:t>ANAHI L A PHILBOIS</w:t>
            </w:r>
          </w:p>
        </w:tc>
        <w:tc>
          <w:tcPr>
            <w:tcW w:w="1687" w:type="dxa"/>
          </w:tcPr>
          <w:p w14:paraId="78C6C296" w14:textId="1CBD6B0F" w:rsidR="00B44A4C" w:rsidRDefault="001E41EE" w:rsidP="003A1A1C">
            <w:r>
              <w:rPr>
                <w:rFonts w:ascii="Helvetica" w:hAnsi="Helvetica" w:cs="Helvetica"/>
                <w:color w:val="000000"/>
                <w:sz w:val="18"/>
                <w:szCs w:val="18"/>
                <w:shd w:val="clear" w:color="auto" w:fill="F5F5F5"/>
              </w:rPr>
              <w:t xml:space="preserve">I-NOVA.MS – CRIAÇÃO DO PRIMEIRO LABORATÓRIO ESTADUAL DE INOVAÇÃO APLICADA A GESTÃO PÚBLICA COMO FERRAMENTA PARA MODERNIZAÇÃO DA GESTÃO </w:t>
            </w:r>
            <w:r>
              <w:rPr>
                <w:rFonts w:ascii="Helvetica" w:hAnsi="Helvetica" w:cs="Helvetica"/>
                <w:color w:val="000000"/>
                <w:sz w:val="18"/>
                <w:szCs w:val="18"/>
                <w:shd w:val="clear" w:color="auto" w:fill="F5F5F5"/>
              </w:rPr>
              <w:lastRenderedPageBreak/>
              <w:t>ESTADUAL NO PERÍODO DURANTE E APÓS A PANDEMIA</w:t>
            </w:r>
          </w:p>
        </w:tc>
        <w:tc>
          <w:tcPr>
            <w:tcW w:w="7515" w:type="dxa"/>
          </w:tcPr>
          <w:p w14:paraId="7C23EDB9" w14:textId="12E0795A" w:rsidR="00B44A4C" w:rsidRDefault="001E41EE" w:rsidP="007E1494">
            <w:pPr>
              <w:jc w:val="both"/>
            </w:pPr>
            <w:r w:rsidRPr="001E41EE">
              <w:lastRenderedPageBreak/>
              <w:t xml:space="preserve">Proposição da Criação de um </w:t>
            </w:r>
            <w:r w:rsidR="00164273" w:rsidRPr="001E41EE">
              <w:t>Laboratório</w:t>
            </w:r>
            <w:r w:rsidRPr="001E41EE">
              <w:t xml:space="preserve"> de </w:t>
            </w:r>
            <w:r w:rsidR="00164273" w:rsidRPr="001E41EE">
              <w:t>Práticas</w:t>
            </w:r>
            <w:r w:rsidRPr="001E41EE">
              <w:t xml:space="preserve"> de </w:t>
            </w:r>
            <w:r w:rsidR="00164273">
              <w:t>G</w:t>
            </w:r>
            <w:r w:rsidR="00164273" w:rsidRPr="001E41EE">
              <w:t xml:space="preserve">estão </w:t>
            </w:r>
            <w:r w:rsidR="00164273">
              <w:t>P</w:t>
            </w:r>
            <w:r w:rsidR="00164273" w:rsidRPr="001E41EE">
              <w:t>ública</w:t>
            </w:r>
            <w:r w:rsidRPr="001E41EE">
              <w:t>. Nos laboratórios, os projetos de inovação são desenvolvidos em ciclos que envolvem imersão nos problemas, ideação, prototipagem e teste de soluções. Os atendimentos são modulados de acordo com o desafio público. Todos os projetos geram capacidade inovadora nas equipes dos órgãos parceiros, que participam e aprendem fazendo ao longo do processo, e utilizando-se de ferramentas de ideação, design, construção colaborativa e foco na geração de valores para os usuários. O I-Nova.MS deverá atuar como um hub para os setores de inovação e como um ponto de contato entre o governo do estado e suas dificuldades, a população e suas necessidades e o sistema de inovação e suas possibilidades.</w:t>
            </w:r>
          </w:p>
        </w:tc>
        <w:tc>
          <w:tcPr>
            <w:tcW w:w="2122" w:type="dxa"/>
          </w:tcPr>
          <w:p w14:paraId="0963CE84" w14:textId="29C0F298" w:rsidR="00B44A4C" w:rsidRDefault="001E41EE" w:rsidP="003A1A1C">
            <w:r>
              <w:t>TCE</w:t>
            </w:r>
          </w:p>
        </w:tc>
      </w:tr>
      <w:tr w:rsidR="00B44A4C" w14:paraId="1616D6F8" w14:textId="77777777" w:rsidTr="009B49CA">
        <w:tc>
          <w:tcPr>
            <w:tcW w:w="2331" w:type="dxa"/>
          </w:tcPr>
          <w:p w14:paraId="0A98A3E0" w14:textId="14D2DCCB" w:rsidR="00B44A4C" w:rsidRPr="00835ECB" w:rsidRDefault="00835ECB" w:rsidP="003A1A1C">
            <w:pPr>
              <w:rPr>
                <w:b/>
              </w:rPr>
            </w:pPr>
            <w:r w:rsidRPr="00835ECB">
              <w:rPr>
                <w:b/>
              </w:rPr>
              <w:t>281747</w:t>
            </w:r>
          </w:p>
        </w:tc>
        <w:tc>
          <w:tcPr>
            <w:tcW w:w="2505" w:type="dxa"/>
          </w:tcPr>
          <w:p w14:paraId="5B841C72" w14:textId="09BC16CA" w:rsidR="00B44A4C" w:rsidRDefault="001E41EE" w:rsidP="003A1A1C">
            <w:r>
              <w:rPr>
                <w:rFonts w:ascii="Helvetica" w:hAnsi="Helvetica" w:cs="Helvetica"/>
                <w:color w:val="000000"/>
                <w:sz w:val="18"/>
                <w:szCs w:val="18"/>
                <w:shd w:val="clear" w:color="auto" w:fill="F5F5F5"/>
              </w:rPr>
              <w:t>RODRIGO LOPES DA COSTA</w:t>
            </w:r>
          </w:p>
        </w:tc>
        <w:tc>
          <w:tcPr>
            <w:tcW w:w="1687" w:type="dxa"/>
          </w:tcPr>
          <w:p w14:paraId="76441F72" w14:textId="4BD152BE" w:rsidR="00B44A4C" w:rsidRDefault="001E41EE" w:rsidP="003A1A1C">
            <w:r>
              <w:rPr>
                <w:rFonts w:ascii="Helvetica" w:hAnsi="Helvetica" w:cs="Helvetica"/>
                <w:color w:val="000000"/>
                <w:sz w:val="18"/>
                <w:szCs w:val="18"/>
                <w:shd w:val="clear" w:color="auto" w:fill="F5F5F5"/>
              </w:rPr>
              <w:t>ACESSA HRMS: UTILIZAÇÃO DE INTELIGÊNCIA ARTIFICIAL NO ATENDIMENTO PRIMÁRIO A PACIENTES E VISITANTES DO HOSPITAL REGIONAL DE MATO GROSSO DO SUL</w:t>
            </w:r>
          </w:p>
        </w:tc>
        <w:tc>
          <w:tcPr>
            <w:tcW w:w="7515" w:type="dxa"/>
          </w:tcPr>
          <w:p w14:paraId="2E77570B" w14:textId="6DF22B18" w:rsidR="00B44A4C" w:rsidRDefault="001E41EE" w:rsidP="003A1A1C">
            <w:r w:rsidRPr="001E41EE">
              <w:t>O Acessa MS é uma plataforma de atendimento virtual para os usuários do Hospital Regional de Mato Grosso do Sul. A plataforma visa proporcionar a uma parcela da população, pacientes ou visitantes de Mato Grosso do Sul, agilidade no atendimento primário, de forma gratuita, que busca por atendimento no Hospital Regional de Mato Grosso do Sul. Em um formato objetivo, poderá proporcionar interação leve entre ser o humano e uma rede neural. Esta última será capaz de interagir com pessoas, utilizando ferramentas tecnológicas já existentes em benefício da população, a fim de levar aos pacientes/visitantes do HRMS uma comodidade e redução no tempo de espera em atendimentos específicos por meio da utilização de inteligência artificial.</w:t>
            </w:r>
          </w:p>
        </w:tc>
        <w:tc>
          <w:tcPr>
            <w:tcW w:w="2122" w:type="dxa"/>
          </w:tcPr>
          <w:p w14:paraId="335319F0" w14:textId="57E90DC7" w:rsidR="00B44A4C" w:rsidRDefault="009B49CA" w:rsidP="003A1A1C">
            <w:r>
              <w:t>HOSPITAL REGIONAL</w:t>
            </w:r>
          </w:p>
        </w:tc>
      </w:tr>
      <w:tr w:rsidR="009B49CA" w14:paraId="5B9E89DE" w14:textId="77777777" w:rsidTr="009B49CA">
        <w:tc>
          <w:tcPr>
            <w:tcW w:w="2331" w:type="dxa"/>
          </w:tcPr>
          <w:p w14:paraId="0541A637" w14:textId="786D0573" w:rsidR="009B49CA" w:rsidRPr="00835ECB" w:rsidRDefault="009B49CA" w:rsidP="009B49CA">
            <w:pPr>
              <w:rPr>
                <w:b/>
              </w:rPr>
            </w:pPr>
            <w:r w:rsidRPr="00835ECB">
              <w:rPr>
                <w:b/>
              </w:rPr>
              <w:t>452366</w:t>
            </w:r>
          </w:p>
        </w:tc>
        <w:tc>
          <w:tcPr>
            <w:tcW w:w="2505" w:type="dxa"/>
          </w:tcPr>
          <w:p w14:paraId="7092CC36" w14:textId="77777777" w:rsidR="009B49CA" w:rsidRDefault="009B49CA" w:rsidP="009B49CA">
            <w:pPr>
              <w:rPr>
                <w:rFonts w:ascii="Helvetica" w:hAnsi="Helvetica" w:cs="Helvetica"/>
                <w:color w:val="000000"/>
                <w:sz w:val="18"/>
                <w:szCs w:val="18"/>
                <w:shd w:val="clear" w:color="auto" w:fill="F5F5F5"/>
              </w:rPr>
            </w:pPr>
            <w:r>
              <w:rPr>
                <w:rFonts w:ascii="Helvetica" w:hAnsi="Helvetica" w:cs="Helvetica"/>
                <w:color w:val="000000"/>
                <w:sz w:val="18"/>
                <w:szCs w:val="18"/>
                <w:shd w:val="clear" w:color="auto" w:fill="F5F5F5"/>
              </w:rPr>
              <w:t xml:space="preserve">PHÂMELLA RITA GIMENEZ SANTANA DENIOZEVICZ </w:t>
            </w:r>
          </w:p>
          <w:p w14:paraId="09DEA1DD" w14:textId="77777777" w:rsidR="009B49CA" w:rsidRDefault="009B49CA" w:rsidP="009B49CA">
            <w:pPr>
              <w:rPr>
                <w:rFonts w:ascii="Helvetica" w:hAnsi="Helvetica" w:cs="Helvetica"/>
                <w:color w:val="000000"/>
                <w:sz w:val="18"/>
                <w:szCs w:val="18"/>
                <w:shd w:val="clear" w:color="auto" w:fill="F5F5F5"/>
              </w:rPr>
            </w:pPr>
          </w:p>
          <w:p w14:paraId="17A9D23F" w14:textId="09DDBF30" w:rsidR="009B49CA" w:rsidRDefault="009B49CA" w:rsidP="009B49CA">
            <w:r>
              <w:rPr>
                <w:rFonts w:ascii="Helvetica" w:hAnsi="Helvetica" w:cs="Helvetica"/>
                <w:color w:val="000000"/>
                <w:sz w:val="18"/>
                <w:szCs w:val="18"/>
                <w:shd w:val="clear" w:color="auto" w:fill="F5F5F5"/>
              </w:rPr>
              <w:t>EQUIPE:</w:t>
            </w:r>
            <w:r w:rsidR="0095503D">
              <w:rPr>
                <w:rFonts w:ascii="Helvetica" w:hAnsi="Helvetica" w:cs="Helvetica"/>
                <w:color w:val="000000"/>
                <w:sz w:val="18"/>
                <w:szCs w:val="18"/>
                <w:shd w:val="clear" w:color="auto" w:fill="F5F5F5"/>
              </w:rPr>
              <w:t xml:space="preserve"> </w:t>
            </w:r>
            <w:r>
              <w:rPr>
                <w:rFonts w:ascii="Helvetica" w:hAnsi="Helvetica" w:cs="Helvetica"/>
                <w:color w:val="000000"/>
                <w:sz w:val="18"/>
                <w:szCs w:val="18"/>
                <w:shd w:val="clear" w:color="auto" w:fill="F5F5F5"/>
              </w:rPr>
              <w:t xml:space="preserve">Edson </w:t>
            </w:r>
            <w:proofErr w:type="spellStart"/>
            <w:r>
              <w:rPr>
                <w:rFonts w:ascii="Helvetica" w:hAnsi="Helvetica" w:cs="Helvetica"/>
                <w:color w:val="000000"/>
                <w:sz w:val="18"/>
                <w:szCs w:val="18"/>
                <w:shd w:val="clear" w:color="auto" w:fill="F5F5F5"/>
              </w:rPr>
              <w:t>Deniozevicz</w:t>
            </w:r>
            <w:proofErr w:type="spellEnd"/>
          </w:p>
        </w:tc>
        <w:tc>
          <w:tcPr>
            <w:tcW w:w="1687" w:type="dxa"/>
          </w:tcPr>
          <w:p w14:paraId="68F38570" w14:textId="03E0E781" w:rsidR="009B49CA" w:rsidRDefault="009B49CA" w:rsidP="009B49CA">
            <w:r>
              <w:rPr>
                <w:rFonts w:ascii="Helvetica" w:hAnsi="Helvetica" w:cs="Helvetica"/>
                <w:color w:val="000000"/>
                <w:sz w:val="18"/>
                <w:szCs w:val="18"/>
                <w:shd w:val="clear" w:color="auto" w:fill="F5F5F5"/>
              </w:rPr>
              <w:t>PROJETO DAMAS QUE SALVAM - OFICINA DE JOGOS</w:t>
            </w:r>
          </w:p>
        </w:tc>
        <w:tc>
          <w:tcPr>
            <w:tcW w:w="7515" w:type="dxa"/>
          </w:tcPr>
          <w:p w14:paraId="61530F9F" w14:textId="1088C24A" w:rsidR="009B49CA" w:rsidRDefault="00826B46" w:rsidP="009B49CA">
            <w:pPr>
              <w:jc w:val="both"/>
            </w:pPr>
            <w:r w:rsidRPr="00826B46">
              <w:t xml:space="preserve">O projeto damas que salvam – Oficina de jogos fora idealizado no âmbito prisional, pois a ideia consiste primeiramente construir tabuleiros de jogos, por meio de materiais baratos e até mesmo reciclados, aplicar e desenvolver técnicas de jogo utilizando matemática simples e desenvolvendo o </w:t>
            </w:r>
            <w:r w:rsidR="0004013E" w:rsidRPr="00826B46">
              <w:t>raciocino</w:t>
            </w:r>
            <w:r w:rsidRPr="00826B46">
              <w:t xml:space="preserve"> lógico, elevando  a qualidade da aprendizagem na rede pública de ensino, com foco na formação integral, a fim de promover o desenvolvimento social e por fim desenvolver atividades mitigadora do cárcere, traçando um novo recomeço para a ressocialização.</w:t>
            </w:r>
          </w:p>
        </w:tc>
        <w:tc>
          <w:tcPr>
            <w:tcW w:w="2122" w:type="dxa"/>
          </w:tcPr>
          <w:p w14:paraId="4A8B4338" w14:textId="17F36C6A" w:rsidR="009B49CA" w:rsidRDefault="009B49CA" w:rsidP="009B49CA">
            <w:r>
              <w:t>AGEPEN</w:t>
            </w:r>
          </w:p>
        </w:tc>
      </w:tr>
    </w:tbl>
    <w:p w14:paraId="465B08AA" w14:textId="4AB12C2D" w:rsidR="00B44A4C" w:rsidRDefault="00B44A4C"/>
    <w:sectPr w:rsidR="00B44A4C" w:rsidSect="00B44A4C">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EB"/>
    <w:rsid w:val="0004013E"/>
    <w:rsid w:val="001043EB"/>
    <w:rsid w:val="001432A1"/>
    <w:rsid w:val="00164273"/>
    <w:rsid w:val="001C25F5"/>
    <w:rsid w:val="001C58F3"/>
    <w:rsid w:val="001E41EE"/>
    <w:rsid w:val="00224A43"/>
    <w:rsid w:val="00347001"/>
    <w:rsid w:val="003D19E1"/>
    <w:rsid w:val="00423C4D"/>
    <w:rsid w:val="00493848"/>
    <w:rsid w:val="004B00C4"/>
    <w:rsid w:val="00512720"/>
    <w:rsid w:val="00637FED"/>
    <w:rsid w:val="0067764D"/>
    <w:rsid w:val="006D3205"/>
    <w:rsid w:val="007E1494"/>
    <w:rsid w:val="0081309C"/>
    <w:rsid w:val="00826B46"/>
    <w:rsid w:val="00835ECB"/>
    <w:rsid w:val="008C154A"/>
    <w:rsid w:val="008D7B40"/>
    <w:rsid w:val="008F0D3C"/>
    <w:rsid w:val="0095503D"/>
    <w:rsid w:val="009B49CA"/>
    <w:rsid w:val="00A150F5"/>
    <w:rsid w:val="00AC43C7"/>
    <w:rsid w:val="00B44A4C"/>
    <w:rsid w:val="00CA1A58"/>
    <w:rsid w:val="00D83753"/>
    <w:rsid w:val="00DD61DE"/>
    <w:rsid w:val="00E7012F"/>
    <w:rsid w:val="00EA0B9E"/>
    <w:rsid w:val="00F446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6061"/>
  <w15:chartTrackingRefBased/>
  <w15:docId w15:val="{AE5EC6FE-F19C-4699-AC10-0E3E7D43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04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4891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Eugênio</cp:lastModifiedBy>
  <cp:revision>2</cp:revision>
  <cp:lastPrinted>2021-10-05T18:11:00Z</cp:lastPrinted>
  <dcterms:created xsi:type="dcterms:W3CDTF">2021-10-27T23:24:00Z</dcterms:created>
  <dcterms:modified xsi:type="dcterms:W3CDTF">2021-10-27T23:24:00Z</dcterms:modified>
</cp:coreProperties>
</file>